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CB1C27" w:rsidRPr="002B7B29" w:rsidRDefault="00CB1C27" w:rsidP="00CB1C27">
      <w:pPr>
        <w:spacing w:after="0" w:line="240" w:lineRule="auto"/>
        <w:ind w:firstLine="288"/>
        <w:jc w:val="both"/>
        <w:rPr>
          <w:rFonts w:ascii="Arial" w:eastAsia="Times New Roman" w:hAnsi="Arial" w:cs="Arial"/>
          <w:b/>
          <w:i/>
          <w:color w:val="000000"/>
          <w:sz w:val="20"/>
          <w:szCs w:val="20"/>
          <w:lang w:val="es-ES" w:eastAsia="es-MX"/>
        </w:rPr>
      </w:pPr>
      <w:r w:rsidRPr="00CB1C27">
        <w:rPr>
          <w:rFonts w:ascii="Arial" w:eastAsia="Times New Roman" w:hAnsi="Arial" w:cs="Arial"/>
          <w:b/>
          <w:color w:val="000000"/>
          <w:sz w:val="20"/>
          <w:szCs w:val="20"/>
          <w:lang w:val="es-ES" w:eastAsia="es-MX"/>
        </w:rPr>
        <w:t>Artículo 46.</w:t>
      </w:r>
      <w:r w:rsidRPr="00CB1C27">
        <w:rPr>
          <w:rFonts w:ascii="Arial" w:eastAsia="Times New Roman" w:hAnsi="Arial" w:cs="Arial"/>
          <w:color w:val="000000"/>
          <w:sz w:val="20"/>
          <w:szCs w:val="20"/>
          <w:lang w:val="es-ES" w:eastAsia="es-MX"/>
        </w:rPr>
        <w:t xml:space="preserve"> </w:t>
      </w:r>
      <w:r w:rsidRPr="002B7B29">
        <w:rPr>
          <w:rFonts w:ascii="Arial" w:eastAsia="Times New Roman" w:hAnsi="Arial" w:cs="Arial"/>
          <w:b/>
          <w:i/>
          <w:color w:val="000000"/>
          <w:sz w:val="20"/>
          <w:szCs w:val="20"/>
          <w:lang w:val="es-ES" w:eastAsia="es-MX"/>
        </w:rPr>
        <w:t>Los contratos de obras públicas y servicios relacionados con las mismas contendrán, en lo aplicable, lo siguiente:</w:t>
      </w:r>
    </w:p>
    <w:p w:rsidR="00CB1C27" w:rsidRPr="00CB1C27" w:rsidRDefault="00CB1C27" w:rsidP="00CB1C27">
      <w:pPr>
        <w:spacing w:after="0" w:line="240" w:lineRule="auto"/>
        <w:ind w:firstLine="288"/>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El nombre, denominación o razón social de la dependencia o entidad convocante y del contratista;</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II.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La indicación del procedimiento conforme al cual se llevó a cabo la adjudicación del contrato;</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III.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Los datos relativos a la autorización del presupuesto para cubrir el compromiso derivado del contrato;</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IV.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Acreditación de la existencia y personalidad del licitante adjudicado;</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V.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La descripción pormenorizada de los trabajos que se deban ejecutar, debiendo acompañar como parte integrante del contrato, en el caso de las obras, los proyectos, planos, especificaciones, normas de calidad, programas y presupuestos; tratándose de servicios, los términos de referencia;</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VI.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El precio a pagar por los trabajos objeto del contrato, así como los plazos, forma y lugar de pago y, cuando corresponda, de los ajustes de costos;</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VII.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El plazo de ejecución de los trabajos, así como los plazos para verificar la terminación de los trabajos y la elaboración del finiquito;</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VIII.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Porcentajes, número y fechas de las exhibiciones y amortización de los anticipos que se otorguen;</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IX.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Forma o términos y porcentajes de garantizar la correcta inversión de los anticipos y el cumplimiento del contrato;</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X.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Términos, condiciones y el procedimiento para la aplicación de penas convencionales, retenciones y/o descuentos;</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XI.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Procedimiento de ajuste de costos que regirá durante la vigencia del contrato;</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XII.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Términos en que el contratista, en su caso, reintegrará las cantidades que, en cualquier forma, hubiere recibido en exceso por la contratación o durante la ejecución de los trabajos, para lo cual se utilizará el procedimiento establecido en el artículo 55 de este ordenamiento;</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XIII.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La indicación de que 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XIV.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Los procedimientos para resolución de controversias previstos en el Capítulo Tercero del Título Séptimo de esta Ley, distintos al procedimiento de conciliación;</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t xml:space="preserve">XV.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Causales por las que la dependencia o entidad podrá dar por rescindido el contrato, y</w:t>
      </w: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left="833" w:hanging="544"/>
        <w:jc w:val="both"/>
        <w:rPr>
          <w:rFonts w:ascii="Arial" w:eastAsia="Times New Roman" w:hAnsi="Arial" w:cs="Arial"/>
          <w:color w:val="000000"/>
          <w:sz w:val="20"/>
          <w:szCs w:val="20"/>
          <w:lang w:val="es-ES" w:eastAsia="es-MX"/>
        </w:rPr>
      </w:pPr>
      <w:r w:rsidRPr="00CB1C27">
        <w:rPr>
          <w:rFonts w:ascii="Arial" w:eastAsia="Times New Roman" w:hAnsi="Arial" w:cs="Arial"/>
          <w:b/>
          <w:color w:val="000000"/>
          <w:sz w:val="20"/>
          <w:szCs w:val="20"/>
          <w:lang w:val="es-ES" w:eastAsia="es-MX"/>
        </w:rPr>
        <w:lastRenderedPageBreak/>
        <w:t xml:space="preserve">XVI. </w:t>
      </w:r>
      <w:r w:rsidRPr="00CB1C27">
        <w:rPr>
          <w:rFonts w:ascii="Arial" w:eastAsia="Times New Roman" w:hAnsi="Arial" w:cs="Arial"/>
          <w:b/>
          <w:color w:val="000000"/>
          <w:sz w:val="20"/>
          <w:szCs w:val="20"/>
          <w:lang w:val="es-ES" w:eastAsia="es-MX"/>
        </w:rPr>
        <w:tab/>
      </w:r>
      <w:r w:rsidRPr="00CB1C27">
        <w:rPr>
          <w:rFonts w:ascii="Arial" w:eastAsia="Times New Roman" w:hAnsi="Arial" w:cs="Arial"/>
          <w:color w:val="000000"/>
          <w:sz w:val="20"/>
          <w:szCs w:val="20"/>
          <w:lang w:val="es-ES" w:eastAsia="es-MX"/>
        </w:rPr>
        <w:t>Los demás aspectos y requisitos previstos en la convocatoria a la licitación e invitaciones a cuando menos tres personas, así como los relativos al tipo de contrato de que se trate.</w:t>
      </w:r>
    </w:p>
    <w:p w:rsidR="00CB1C27" w:rsidRPr="00CB1C27" w:rsidRDefault="00CB1C27" w:rsidP="00CB1C27">
      <w:pPr>
        <w:spacing w:after="0" w:line="240" w:lineRule="auto"/>
        <w:ind w:firstLine="288"/>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firstLine="288"/>
        <w:jc w:val="both"/>
        <w:rPr>
          <w:rFonts w:ascii="Arial" w:eastAsia="Times New Roman" w:hAnsi="Arial" w:cs="Arial"/>
          <w:color w:val="000000"/>
          <w:sz w:val="20"/>
          <w:szCs w:val="20"/>
          <w:lang w:val="es-ES" w:eastAsia="es-MX"/>
        </w:rPr>
      </w:pPr>
      <w:r w:rsidRPr="00CB1C27">
        <w:rPr>
          <w:rFonts w:ascii="Arial" w:eastAsia="Times New Roman" w:hAnsi="Arial" w:cs="Arial"/>
          <w:color w:val="000000"/>
          <w:sz w:val="20"/>
          <w:szCs w:val="20"/>
          <w:lang w:val="es-ES" w:eastAsia="es-MX"/>
        </w:rPr>
        <w:t>Para los efectos de esta Ley, la convocatoria a la licitación, el contrato, sus anexos y la bitácora de los trabajos son los instrumentos que vinculan a las partes en sus derechos y obligaciones. Las estipulaciones que se establezcan en el contrato no deberán modificar las condiciones previstas en la convocatoria a la licitación.</w:t>
      </w:r>
    </w:p>
    <w:p w:rsidR="00CB1C27" w:rsidRPr="00CB1C27" w:rsidRDefault="00CB1C27" w:rsidP="00CB1C27">
      <w:pPr>
        <w:spacing w:after="0" w:line="240" w:lineRule="auto"/>
        <w:ind w:firstLine="288"/>
        <w:jc w:val="both"/>
        <w:rPr>
          <w:rFonts w:ascii="Arial" w:eastAsia="Times New Roman" w:hAnsi="Arial" w:cs="Arial"/>
          <w:color w:val="000000"/>
          <w:sz w:val="20"/>
          <w:szCs w:val="20"/>
          <w:lang w:val="es-ES" w:eastAsia="es-MX"/>
        </w:rPr>
      </w:pPr>
    </w:p>
    <w:p w:rsidR="00CB1C27" w:rsidRPr="00CB1C27" w:rsidRDefault="00CB1C27" w:rsidP="00CB1C27">
      <w:pPr>
        <w:spacing w:after="0" w:line="240" w:lineRule="auto"/>
        <w:ind w:firstLine="288"/>
        <w:jc w:val="both"/>
        <w:rPr>
          <w:rFonts w:ascii="Arial" w:eastAsia="Times New Roman" w:hAnsi="Arial" w:cs="Arial"/>
          <w:color w:val="000000"/>
          <w:sz w:val="20"/>
          <w:szCs w:val="20"/>
          <w:lang w:val="es-ES" w:eastAsia="es-MX"/>
        </w:rPr>
      </w:pPr>
      <w:r w:rsidRPr="00CB1C27">
        <w:rPr>
          <w:rFonts w:ascii="Arial" w:eastAsia="Times New Roman" w:hAnsi="Arial" w:cs="Arial"/>
          <w:color w:val="000000"/>
          <w:sz w:val="20"/>
          <w:szCs w:val="20"/>
          <w:lang w:val="es-ES" w:eastAsia="es-MX"/>
        </w:rPr>
        <w:t xml:space="preserve">En la formalización de los contratos, podrán utilizarse los medios de comunicación electrónica que al efecto autorice </w:t>
      </w:r>
      <w:smartTag w:uri="urn:schemas-microsoft-com:office:smarttags" w:element="PersonName">
        <w:smartTagPr>
          <w:attr w:name="ProductID" w:val="la Secretar￭a"/>
        </w:smartTagPr>
        <w:r w:rsidRPr="00CB1C27">
          <w:rPr>
            <w:rFonts w:ascii="Arial" w:eastAsia="Times New Roman" w:hAnsi="Arial" w:cs="Arial"/>
            <w:color w:val="000000"/>
            <w:sz w:val="20"/>
            <w:szCs w:val="20"/>
            <w:lang w:val="es-ES" w:eastAsia="es-MX"/>
          </w:rPr>
          <w:t>la Secretaría</w:t>
        </w:r>
      </w:smartTag>
      <w:r w:rsidRPr="00CB1C27">
        <w:rPr>
          <w:rFonts w:ascii="Arial" w:eastAsia="Times New Roman" w:hAnsi="Arial" w:cs="Arial"/>
          <w:color w:val="000000"/>
          <w:sz w:val="20"/>
          <w:szCs w:val="20"/>
          <w:lang w:val="es-ES" w:eastAsia="es-MX"/>
        </w:rPr>
        <w:t xml:space="preserve"> de la Función Pública.</w:t>
      </w:r>
    </w:p>
    <w:p w:rsidR="00CB1C27" w:rsidRPr="00CB1C27" w:rsidRDefault="00CB1C27" w:rsidP="00CB1C27">
      <w:pPr>
        <w:spacing w:after="0" w:line="240" w:lineRule="auto"/>
        <w:ind w:firstLine="288"/>
        <w:jc w:val="both"/>
        <w:rPr>
          <w:rFonts w:ascii="Arial" w:eastAsia="Times New Roman" w:hAnsi="Arial" w:cs="Arial"/>
          <w:color w:val="000000"/>
          <w:sz w:val="20"/>
          <w:szCs w:val="20"/>
          <w:lang w:val="es-ES" w:eastAsia="es-MX"/>
        </w:rPr>
      </w:pPr>
    </w:p>
    <w:p w:rsidR="003470D3" w:rsidRDefault="00CB1C27" w:rsidP="00CB1C27">
      <w:pPr>
        <w:spacing w:after="0" w:line="240" w:lineRule="auto"/>
        <w:ind w:firstLine="288"/>
        <w:jc w:val="both"/>
        <w:rPr>
          <w:rFonts w:ascii="Univers" w:eastAsia="Times New Roman" w:hAnsi="Univers" w:cs="Times New Roman"/>
          <w:color w:val="000000"/>
          <w:sz w:val="20"/>
          <w:szCs w:val="20"/>
          <w:lang w:eastAsia="es-ES"/>
        </w:rPr>
      </w:pPr>
      <w:r w:rsidRPr="00CB1C27">
        <w:rPr>
          <w:rFonts w:ascii="Univers" w:eastAsia="Times New Roman" w:hAnsi="Univers" w:cs="Times New Roman"/>
          <w:color w:val="000000"/>
          <w:sz w:val="20"/>
          <w:szCs w:val="20"/>
          <w:lang w:eastAsia="es-ES"/>
        </w:rPr>
        <w:t xml:space="preserve">En la elaboración, control y seguimiento de la bitácora, se deberán utilizar medios remotos de comunicación electrónica, salvo en los casos en que </w:t>
      </w:r>
      <w:smartTag w:uri="urn:schemas-microsoft-com:office:smarttags" w:element="PersonName">
        <w:smartTagPr>
          <w:attr w:name="ProductID" w:val="la Secretar￭a"/>
        </w:smartTagPr>
        <w:r w:rsidRPr="00CB1C27">
          <w:rPr>
            <w:rFonts w:ascii="Univers" w:eastAsia="Times New Roman" w:hAnsi="Univers" w:cs="Times New Roman"/>
            <w:color w:val="000000"/>
            <w:sz w:val="20"/>
            <w:szCs w:val="20"/>
            <w:lang w:eastAsia="es-ES"/>
          </w:rPr>
          <w:t>la Secretaría</w:t>
        </w:r>
      </w:smartTag>
      <w:r w:rsidRPr="00CB1C27">
        <w:rPr>
          <w:rFonts w:ascii="Univers" w:eastAsia="Times New Roman" w:hAnsi="Univers" w:cs="Times New Roman"/>
          <w:color w:val="000000"/>
          <w:sz w:val="20"/>
          <w:szCs w:val="20"/>
          <w:lang w:eastAsia="es-ES"/>
        </w:rPr>
        <w:t xml:space="preserve"> de </w:t>
      </w:r>
      <w:smartTag w:uri="urn:schemas-microsoft-com:office:smarttags" w:element="PersonName">
        <w:smartTagPr>
          <w:attr w:name="ProductID" w:val="la Funci￳n P￺blica"/>
        </w:smartTagPr>
        <w:r w:rsidRPr="00CB1C27">
          <w:rPr>
            <w:rFonts w:ascii="Univers" w:eastAsia="Times New Roman" w:hAnsi="Univers" w:cs="Times New Roman"/>
            <w:color w:val="000000"/>
            <w:sz w:val="20"/>
            <w:szCs w:val="20"/>
            <w:lang w:eastAsia="es-ES"/>
          </w:rPr>
          <w:t>la Función Pública</w:t>
        </w:r>
      </w:smartTag>
      <w:r w:rsidRPr="00CB1C27">
        <w:rPr>
          <w:rFonts w:ascii="Univers" w:eastAsia="Times New Roman" w:hAnsi="Univers" w:cs="Times New Roman"/>
          <w:color w:val="000000"/>
          <w:sz w:val="20"/>
          <w:szCs w:val="20"/>
          <w:lang w:eastAsia="es-ES"/>
        </w:rPr>
        <w:t xml:space="preserve"> lo autorice</w:t>
      </w:r>
    </w:p>
    <w:p w:rsidR="00F83838" w:rsidRDefault="00F83838" w:rsidP="00F83838">
      <w:pPr>
        <w:spacing w:after="0" w:line="240" w:lineRule="auto"/>
        <w:jc w:val="both"/>
        <w:rPr>
          <w:rFonts w:ascii="Univers" w:eastAsia="Times New Roman" w:hAnsi="Univers" w:cs="Times New Roman"/>
          <w:color w:val="000000"/>
          <w:sz w:val="20"/>
          <w:szCs w:val="20"/>
          <w:lang w:eastAsia="es-ES"/>
        </w:rPr>
      </w:pPr>
    </w:p>
    <w:p w:rsidR="002B7B29" w:rsidRDefault="002B7B29" w:rsidP="00F83838">
      <w:pPr>
        <w:spacing w:after="0" w:line="240" w:lineRule="auto"/>
        <w:jc w:val="both"/>
        <w:rPr>
          <w:rFonts w:ascii="Univers" w:eastAsia="Times New Roman" w:hAnsi="Univers" w:cs="Times New Roman"/>
          <w:color w:val="000000"/>
          <w:sz w:val="20"/>
          <w:szCs w:val="20"/>
          <w:lang w:eastAsia="es-ES"/>
        </w:rPr>
      </w:pPr>
    </w:p>
    <w:p w:rsidR="002B7B29" w:rsidRPr="002B7B29" w:rsidRDefault="002B7B29" w:rsidP="002B7B29">
      <w:pPr>
        <w:spacing w:after="0" w:line="240" w:lineRule="auto"/>
        <w:ind w:firstLine="288"/>
        <w:jc w:val="both"/>
        <w:rPr>
          <w:rFonts w:ascii="Arial" w:eastAsia="Times New Roman" w:hAnsi="Arial" w:cs="Arial"/>
          <w:color w:val="000000"/>
          <w:sz w:val="20"/>
          <w:szCs w:val="20"/>
          <w:lang w:val="es-ES" w:eastAsia="es-MX"/>
        </w:rPr>
      </w:pPr>
      <w:r w:rsidRPr="002B7B29">
        <w:rPr>
          <w:rFonts w:ascii="Arial" w:eastAsia="Times New Roman" w:hAnsi="Arial" w:cs="Arial"/>
          <w:b/>
          <w:color w:val="000000"/>
          <w:sz w:val="20"/>
          <w:szCs w:val="20"/>
          <w:lang w:val="es-ES" w:eastAsia="es-MX"/>
        </w:rPr>
        <w:t>Artículo 47.</w:t>
      </w:r>
      <w:r w:rsidRPr="002B7B29">
        <w:rPr>
          <w:rFonts w:ascii="Arial" w:eastAsia="Times New Roman" w:hAnsi="Arial" w:cs="Arial"/>
          <w:color w:val="000000"/>
          <w:sz w:val="20"/>
          <w:szCs w:val="20"/>
          <w:lang w:val="es-ES" w:eastAsia="es-MX"/>
        </w:rPr>
        <w:t xml:space="preserve"> </w:t>
      </w:r>
      <w:r w:rsidRPr="003C131B">
        <w:rPr>
          <w:rFonts w:ascii="Arial" w:eastAsia="Times New Roman" w:hAnsi="Arial" w:cs="Arial"/>
          <w:color w:val="000000"/>
          <w:sz w:val="20"/>
          <w:szCs w:val="20"/>
          <w:highlight w:val="yellow"/>
          <w:lang w:val="es-ES" w:eastAsia="es-MX"/>
        </w:rPr>
        <w:t>La notificación del fallo obligará a la dependencia o entidad y a la persona a quien se haya adjudicado, a firmar el contrato</w:t>
      </w:r>
      <w:r w:rsidRPr="002B7B29">
        <w:rPr>
          <w:rFonts w:ascii="Arial" w:eastAsia="Times New Roman" w:hAnsi="Arial" w:cs="Arial"/>
          <w:color w:val="000000"/>
          <w:sz w:val="20"/>
          <w:szCs w:val="20"/>
          <w:lang w:val="es-ES" w:eastAsia="es-MX"/>
        </w:rPr>
        <w:t xml:space="preserve">, en la fecha, hora y lugar previstos en el propio fallo, o bien en la convocatoria a la licitación pública y en defecto de tales previsiones, dentro de los quince días naturales siguientes al de la citada notificación. No podrá formalizarse contrato alguno que no se encuentre garantizado </w:t>
      </w:r>
      <w:bookmarkStart w:id="0" w:name="_GoBack"/>
      <w:bookmarkEnd w:id="0"/>
      <w:r w:rsidRPr="002B7B29">
        <w:rPr>
          <w:rFonts w:ascii="Arial" w:eastAsia="Times New Roman" w:hAnsi="Arial" w:cs="Arial"/>
          <w:color w:val="000000"/>
          <w:sz w:val="20"/>
          <w:szCs w:val="20"/>
          <w:lang w:val="es-ES" w:eastAsia="es-MX"/>
        </w:rPr>
        <w:t>de acuerdo con lo dispuesto en la fracción II del artículo 48 de esta Ley.</w:t>
      </w:r>
    </w:p>
    <w:p w:rsidR="002B7B29" w:rsidRPr="002B7B29" w:rsidRDefault="002B7B29" w:rsidP="002B7B29">
      <w:pPr>
        <w:spacing w:after="0" w:line="240" w:lineRule="auto"/>
        <w:jc w:val="right"/>
        <w:rPr>
          <w:rFonts w:ascii="Times New Roman" w:eastAsia="MS Mincho" w:hAnsi="Times New Roman" w:cs="Times New Roman"/>
          <w:i/>
          <w:iCs/>
          <w:color w:val="0000FF"/>
          <w:sz w:val="16"/>
          <w:szCs w:val="20"/>
          <w:lang w:val="es-ES" w:eastAsia="es-ES"/>
        </w:rPr>
      </w:pPr>
      <w:r w:rsidRPr="002B7B29">
        <w:rPr>
          <w:rFonts w:ascii="Times New Roman" w:eastAsia="MS Mincho" w:hAnsi="Times New Roman" w:cs="Times New Roman"/>
          <w:i/>
          <w:iCs/>
          <w:color w:val="0000FF"/>
          <w:sz w:val="16"/>
          <w:szCs w:val="20"/>
          <w:lang w:val="es-ES" w:eastAsia="es-ES"/>
        </w:rPr>
        <w:t>Párrafo reformado DOF 07-07-2005, 28-05-2009</w:t>
      </w:r>
    </w:p>
    <w:p w:rsidR="002B7B29" w:rsidRPr="002B7B29" w:rsidRDefault="002B7B29" w:rsidP="002B7B29">
      <w:pPr>
        <w:spacing w:after="0" w:line="240" w:lineRule="auto"/>
        <w:ind w:firstLine="288"/>
        <w:jc w:val="both"/>
        <w:rPr>
          <w:rFonts w:ascii="Arial" w:eastAsia="Times New Roman" w:hAnsi="Arial" w:cs="Arial"/>
          <w:sz w:val="20"/>
          <w:szCs w:val="20"/>
          <w:lang w:eastAsia="es-ES"/>
        </w:rPr>
      </w:pPr>
    </w:p>
    <w:p w:rsidR="002B7B29" w:rsidRPr="002B7B29" w:rsidRDefault="002B7B29" w:rsidP="002B7B29">
      <w:pPr>
        <w:spacing w:after="0" w:line="240" w:lineRule="auto"/>
        <w:ind w:firstLine="288"/>
        <w:jc w:val="both"/>
        <w:rPr>
          <w:rFonts w:ascii="Arial" w:eastAsia="Times New Roman" w:hAnsi="Arial" w:cs="Arial"/>
          <w:color w:val="000000"/>
          <w:sz w:val="20"/>
          <w:szCs w:val="20"/>
          <w:lang w:val="es-ES" w:eastAsia="es-MX"/>
        </w:rPr>
      </w:pPr>
      <w:r w:rsidRPr="002B7B29">
        <w:rPr>
          <w:rFonts w:ascii="Arial" w:eastAsia="Times New Roman" w:hAnsi="Arial" w:cs="Arial"/>
          <w:color w:val="000000"/>
          <w:sz w:val="20"/>
          <w:szCs w:val="20"/>
          <w:lang w:val="es-ES" w:eastAsia="es-MX"/>
        </w:rPr>
        <w:t>Si el interesado no firmare el contrato por causas imputables al mismo, en la fecha o plazo establecido en el párrafo anterior, la dependencia o entidad podrá, sin necesidad de un nuevo procedimiento, adjudicar el contrato al participante que haya presentado la siguiente proposición solvente que resulte más conveniente para el Estado, de conformidad con lo asentado en el fallo, y así sucesivamente en caso de que este último no acepte la adjudicación, siempre que la diferencia en precio con respecto a la proposición que inicialmente hubiere resultado ganadora, no sea superior al diez por ciento.</w:t>
      </w:r>
    </w:p>
    <w:p w:rsidR="002B7B29" w:rsidRPr="002B7B29" w:rsidRDefault="002B7B29" w:rsidP="002B7B29">
      <w:pPr>
        <w:spacing w:after="0" w:line="240" w:lineRule="auto"/>
        <w:jc w:val="right"/>
        <w:rPr>
          <w:rFonts w:ascii="Times New Roman" w:eastAsia="MS Mincho" w:hAnsi="Times New Roman" w:cs="Times New Roman"/>
          <w:i/>
          <w:iCs/>
          <w:color w:val="0000FF"/>
          <w:sz w:val="16"/>
          <w:szCs w:val="20"/>
          <w:lang w:val="es-ES" w:eastAsia="es-ES"/>
        </w:rPr>
      </w:pPr>
      <w:r w:rsidRPr="002B7B29">
        <w:rPr>
          <w:rFonts w:ascii="Times New Roman" w:eastAsia="MS Mincho" w:hAnsi="Times New Roman" w:cs="Times New Roman"/>
          <w:i/>
          <w:iCs/>
          <w:color w:val="0000FF"/>
          <w:sz w:val="16"/>
          <w:szCs w:val="20"/>
          <w:lang w:val="es-ES" w:eastAsia="es-ES"/>
        </w:rPr>
        <w:t>Párrafo reformado DOF 07-07-2005, 28-05-2009</w:t>
      </w:r>
    </w:p>
    <w:p w:rsidR="002B7B29" w:rsidRPr="002B7B29" w:rsidRDefault="002B7B29" w:rsidP="002B7B29">
      <w:pPr>
        <w:spacing w:after="0" w:line="240" w:lineRule="auto"/>
        <w:ind w:firstLine="288"/>
        <w:jc w:val="both"/>
        <w:rPr>
          <w:rFonts w:ascii="Arial" w:eastAsia="Times New Roman" w:hAnsi="Arial" w:cs="Arial"/>
          <w:sz w:val="20"/>
          <w:szCs w:val="20"/>
          <w:lang w:eastAsia="es-ES"/>
        </w:rPr>
      </w:pPr>
    </w:p>
    <w:p w:rsidR="002B7B29" w:rsidRPr="002B7B29" w:rsidRDefault="002B7B29" w:rsidP="002B7B29">
      <w:pPr>
        <w:spacing w:after="0" w:line="240" w:lineRule="auto"/>
        <w:ind w:firstLine="288"/>
        <w:jc w:val="both"/>
        <w:rPr>
          <w:rFonts w:ascii="Arial" w:eastAsia="Times New Roman" w:hAnsi="Arial" w:cs="Arial"/>
          <w:sz w:val="20"/>
          <w:szCs w:val="18"/>
          <w:lang w:eastAsia="es-MX"/>
        </w:rPr>
      </w:pPr>
      <w:r w:rsidRPr="002B7B29">
        <w:rPr>
          <w:rFonts w:ascii="Arial" w:eastAsia="Times New Roman" w:hAnsi="Arial" w:cs="Arial"/>
          <w:sz w:val="20"/>
          <w:szCs w:val="18"/>
          <w:lang w:eastAsia="es-MX"/>
        </w:rPr>
        <w:t>Tratándose de una evaluación de puntos y porcentajes, el contrato podrá adjudicarse a la que le siga en calificación y así sucesivamente en caso de que este último no acepte la adjudicación.</w:t>
      </w:r>
    </w:p>
    <w:p w:rsidR="002B7B29" w:rsidRPr="002B7B29" w:rsidRDefault="002B7B29" w:rsidP="002B7B29">
      <w:pPr>
        <w:spacing w:after="0" w:line="240" w:lineRule="auto"/>
        <w:jc w:val="right"/>
        <w:rPr>
          <w:rFonts w:ascii="Times New Roman" w:eastAsia="MS Mincho" w:hAnsi="Times New Roman" w:cs="Times New Roman"/>
          <w:i/>
          <w:iCs/>
          <w:color w:val="0000FF"/>
          <w:sz w:val="16"/>
          <w:szCs w:val="20"/>
          <w:lang w:val="es-ES" w:eastAsia="es-ES"/>
        </w:rPr>
      </w:pPr>
      <w:r w:rsidRPr="002B7B29">
        <w:rPr>
          <w:rFonts w:ascii="Times New Roman" w:eastAsia="MS Mincho" w:hAnsi="Times New Roman" w:cs="Times New Roman"/>
          <w:i/>
          <w:iCs/>
          <w:color w:val="0000FF"/>
          <w:sz w:val="16"/>
          <w:szCs w:val="20"/>
          <w:lang w:val="es-ES" w:eastAsia="es-ES"/>
        </w:rPr>
        <w:t>Párrafo adicionado DOF 07-07-2005</w:t>
      </w:r>
    </w:p>
    <w:p w:rsidR="002B7B29" w:rsidRPr="002B7B29" w:rsidRDefault="002B7B29" w:rsidP="002B7B29">
      <w:pPr>
        <w:spacing w:after="0" w:line="240" w:lineRule="auto"/>
        <w:ind w:firstLine="288"/>
        <w:jc w:val="both"/>
        <w:rPr>
          <w:rFonts w:ascii="Arial" w:eastAsia="Times New Roman" w:hAnsi="Arial" w:cs="Arial"/>
          <w:sz w:val="20"/>
          <w:szCs w:val="20"/>
          <w:lang w:eastAsia="es-ES"/>
        </w:rPr>
      </w:pPr>
    </w:p>
    <w:p w:rsidR="002B7B29" w:rsidRPr="002B7B29" w:rsidRDefault="002B7B29" w:rsidP="002B7B29">
      <w:pPr>
        <w:spacing w:after="0" w:line="240" w:lineRule="auto"/>
        <w:ind w:firstLine="288"/>
        <w:jc w:val="both"/>
        <w:rPr>
          <w:rFonts w:ascii="Arial" w:eastAsia="Times New Roman" w:hAnsi="Arial" w:cs="Arial"/>
          <w:color w:val="000000"/>
          <w:sz w:val="20"/>
          <w:szCs w:val="20"/>
          <w:lang w:val="es-ES" w:eastAsia="es-MX"/>
        </w:rPr>
      </w:pPr>
      <w:r w:rsidRPr="002B7B29">
        <w:rPr>
          <w:rFonts w:ascii="Arial" w:eastAsia="Times New Roman" w:hAnsi="Arial" w:cs="Arial"/>
          <w:color w:val="000000"/>
          <w:sz w:val="20"/>
          <w:szCs w:val="20"/>
          <w:lang w:val="es-ES" w:eastAsia="es-MX"/>
        </w:rPr>
        <w:t>Si la dependencia o entidad no firmare el contrato respectivo o cambia las condiciones de la convocatoria de la licitación que motivaron el fallo correspondiente, el licitante ganador, sin incurrir en responsabilidad, no estará obligado a ejecutar los trabajos. En este supuesto, la dependencia o entidad, a solicitud escrita del licitante, cubrirá los gastos no recuperables en que hubiere incurrido para preparar y elaborar su proposición, siempre que éstos sean razonables, estén debidamente comprobados y se relacionen directamente con la licitación de que se trate.</w:t>
      </w:r>
    </w:p>
    <w:p w:rsidR="002B7B29" w:rsidRPr="002B7B29" w:rsidRDefault="002B7B29" w:rsidP="002B7B29">
      <w:pPr>
        <w:spacing w:after="0" w:line="240" w:lineRule="auto"/>
        <w:jc w:val="right"/>
        <w:rPr>
          <w:rFonts w:ascii="Times New Roman" w:eastAsia="MS Mincho" w:hAnsi="Times New Roman" w:cs="Times New Roman"/>
          <w:i/>
          <w:iCs/>
          <w:color w:val="0000FF"/>
          <w:sz w:val="16"/>
          <w:szCs w:val="20"/>
          <w:lang w:val="es-ES" w:eastAsia="es-ES"/>
        </w:rPr>
      </w:pPr>
      <w:r w:rsidRPr="002B7B29">
        <w:rPr>
          <w:rFonts w:ascii="Times New Roman" w:eastAsia="MS Mincho" w:hAnsi="Times New Roman" w:cs="Times New Roman"/>
          <w:i/>
          <w:iCs/>
          <w:color w:val="0000FF"/>
          <w:sz w:val="16"/>
          <w:szCs w:val="20"/>
          <w:lang w:val="es-ES" w:eastAsia="es-ES"/>
        </w:rPr>
        <w:t>Párrafo reformado DOF 07-07-2005, 28-05-2009</w:t>
      </w:r>
    </w:p>
    <w:p w:rsidR="002B7B29" w:rsidRPr="002B7B29" w:rsidRDefault="002B7B29" w:rsidP="002B7B29">
      <w:pPr>
        <w:spacing w:after="0" w:line="240" w:lineRule="auto"/>
        <w:ind w:firstLine="288"/>
        <w:jc w:val="both"/>
        <w:rPr>
          <w:rFonts w:ascii="Arial" w:eastAsia="Times New Roman" w:hAnsi="Arial" w:cs="Arial"/>
          <w:sz w:val="20"/>
          <w:szCs w:val="20"/>
          <w:lang w:eastAsia="es-ES"/>
        </w:rPr>
      </w:pPr>
    </w:p>
    <w:p w:rsidR="002B7B29" w:rsidRPr="002B7B29" w:rsidRDefault="002B7B29" w:rsidP="002B7B29">
      <w:pPr>
        <w:spacing w:after="0" w:line="240" w:lineRule="auto"/>
        <w:ind w:firstLine="288"/>
        <w:jc w:val="both"/>
        <w:rPr>
          <w:rFonts w:ascii="Arial" w:eastAsia="Times New Roman" w:hAnsi="Arial" w:cs="Arial"/>
          <w:sz w:val="20"/>
          <w:szCs w:val="20"/>
          <w:lang w:eastAsia="es-ES"/>
        </w:rPr>
      </w:pPr>
      <w:r w:rsidRPr="002B7B29">
        <w:rPr>
          <w:rFonts w:ascii="Arial" w:eastAsia="Times New Roman" w:hAnsi="Arial" w:cs="Arial"/>
          <w:sz w:val="20"/>
          <w:szCs w:val="20"/>
          <w:lang w:eastAsia="es-ES"/>
        </w:rPr>
        <w:t>El contratista a quien se adjudique el contrato, no podrá hacerlo ejecutar por otro; pero, con autorización previa del titular del área responsable de la ejecución de los trabajos en la dependencia o entidad de que se trate, podrá hacerlo respecto de partes del contrato o cuando adquiera materiales o equipos que incluyan su instalación en las obras. Esta autorización previa no se requerirá cuando la dependencia o entidad señale específicamente en las bases de la licitación, las partes de los trabajos que podrán ser objeto de subcontratación. En todo caso, el contratista seguirá siendo el único responsable de la ejecución de los trabajos ante la dependencia o entidad.</w:t>
      </w:r>
    </w:p>
    <w:p w:rsidR="002B7B29" w:rsidRPr="002B7B29" w:rsidRDefault="002B7B29" w:rsidP="002B7B29">
      <w:pPr>
        <w:spacing w:after="0" w:line="240" w:lineRule="auto"/>
        <w:ind w:firstLine="288"/>
        <w:jc w:val="both"/>
        <w:rPr>
          <w:rFonts w:ascii="Arial" w:eastAsia="Times New Roman" w:hAnsi="Arial" w:cs="Arial"/>
          <w:sz w:val="20"/>
          <w:szCs w:val="20"/>
          <w:lang w:eastAsia="es-ES"/>
        </w:rPr>
      </w:pPr>
    </w:p>
    <w:p w:rsidR="002B7B29" w:rsidRPr="002B7B29" w:rsidRDefault="002B7B29" w:rsidP="002B7B29">
      <w:pPr>
        <w:spacing w:after="0" w:line="240" w:lineRule="auto"/>
        <w:ind w:firstLine="288"/>
        <w:jc w:val="both"/>
        <w:rPr>
          <w:rFonts w:ascii="Arial" w:eastAsia="Times New Roman" w:hAnsi="Arial" w:cs="Arial"/>
          <w:color w:val="000000"/>
          <w:sz w:val="20"/>
          <w:szCs w:val="20"/>
          <w:lang w:val="es-ES" w:eastAsia="es-MX"/>
        </w:rPr>
      </w:pPr>
      <w:r w:rsidRPr="002B7B29">
        <w:rPr>
          <w:rFonts w:ascii="Arial" w:eastAsia="Times New Roman" w:hAnsi="Arial" w:cs="Arial"/>
          <w:color w:val="000000"/>
          <w:sz w:val="20"/>
          <w:szCs w:val="20"/>
          <w:lang w:val="es-ES" w:eastAsia="es-MX"/>
        </w:rPr>
        <w:t xml:space="preserve">Los derechos y obligaciones que se deriven de los contratos no podrán ser transferidos por el contratista en favor de </w:t>
      </w:r>
      <w:proofErr w:type="gramStart"/>
      <w:r w:rsidRPr="002B7B29">
        <w:rPr>
          <w:rFonts w:ascii="Arial" w:eastAsia="Times New Roman" w:hAnsi="Arial" w:cs="Arial"/>
          <w:color w:val="000000"/>
          <w:sz w:val="20"/>
          <w:szCs w:val="20"/>
          <w:lang w:val="es-ES" w:eastAsia="es-MX"/>
        </w:rPr>
        <w:t>cualesquiera otra persona, con excepción de los derechos de cobro sobre las estimaciones por trabajos ejecutados,</w:t>
      </w:r>
      <w:proofErr w:type="gramEnd"/>
      <w:r w:rsidRPr="002B7B29">
        <w:rPr>
          <w:rFonts w:ascii="Arial" w:eastAsia="Times New Roman" w:hAnsi="Arial" w:cs="Arial"/>
          <w:color w:val="000000"/>
          <w:sz w:val="20"/>
          <w:szCs w:val="20"/>
          <w:lang w:val="es-ES" w:eastAsia="es-MX"/>
        </w:rPr>
        <w:t xml:space="preserve"> en cuyo caso se deberá contar con el consentimiento de la dependencia o entidad de que se trate.</w:t>
      </w:r>
    </w:p>
    <w:p w:rsidR="002B7B29" w:rsidRPr="002B7B29" w:rsidRDefault="002B7B29" w:rsidP="00F83838">
      <w:pPr>
        <w:spacing w:after="0" w:line="240" w:lineRule="auto"/>
        <w:jc w:val="both"/>
        <w:rPr>
          <w:rFonts w:ascii="Univers" w:eastAsia="Times New Roman" w:hAnsi="Univers" w:cs="Times New Roman"/>
          <w:color w:val="000000"/>
          <w:sz w:val="20"/>
          <w:szCs w:val="20"/>
          <w:lang w:val="es-ES" w:eastAsia="es-ES"/>
        </w:rPr>
      </w:pPr>
    </w:p>
    <w:sectPr w:rsidR="002B7B29" w:rsidRPr="002B7B2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1B6C98"/>
    <w:rsid w:val="002B7B29"/>
    <w:rsid w:val="00311CD3"/>
    <w:rsid w:val="003470D3"/>
    <w:rsid w:val="003C131B"/>
    <w:rsid w:val="003F0FAF"/>
    <w:rsid w:val="00431C31"/>
    <w:rsid w:val="00542F87"/>
    <w:rsid w:val="0060626A"/>
    <w:rsid w:val="006B2828"/>
    <w:rsid w:val="006F7B91"/>
    <w:rsid w:val="007D6E43"/>
    <w:rsid w:val="008938F3"/>
    <w:rsid w:val="009442E2"/>
    <w:rsid w:val="009B1A51"/>
    <w:rsid w:val="00A127F4"/>
    <w:rsid w:val="00A3401B"/>
    <w:rsid w:val="00A53CF0"/>
    <w:rsid w:val="00B33A5F"/>
    <w:rsid w:val="00C908DA"/>
    <w:rsid w:val="00CB1C27"/>
    <w:rsid w:val="00D66C03"/>
    <w:rsid w:val="00E950BD"/>
    <w:rsid w:val="00F231B2"/>
    <w:rsid w:val="00F838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1018</Words>
  <Characters>5599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2013-04-10T18:41:00Z</dcterms:created>
  <dcterms:modified xsi:type="dcterms:W3CDTF">2013-04-16T15:22:00Z</dcterms:modified>
</cp:coreProperties>
</file>